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80"/>
        <w:jc w:val="center"/>
      </w:pPr>
      <w:r>
        <w:rPr>
          <w:rFonts w:ascii="Arial" w:cs="Arial" w:eastAsia="Arial" w:hAnsi="Arial"/>
          <w:b/>
          <w:bCs/>
          <w:color w:val="00B8D0"/>
          <w:sz w:val="40"/>
          <w:szCs w:val="40"/>
        </w:rPr>
        <w:t xml:space="preserve">ScubaDiverLink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Guide Process Guide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01828"/>
          <w:sz w:val="44"/>
          <w:szCs w:val="44"/>
        </w:rPr>
        <w:t xml:space="preserve">Guide Availability &amp; Rates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Rates &amp; Scheduling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6B8A9A"/>
          <w:sz w:val="18"/>
          <w:szCs w:val="18"/>
        </w:rPr>
        <w:t xml:space="preserve">Version 1.0  ·  May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screenshot — replace with the relevant app screen for this process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Overview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Keeping your availability and rates up to date ensures the platform surfaces the right trip listings in your feed and helps operators see whether you are a realistic candidate before reaching out. Outdated availability is one of the most common reasons guides are passed over.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Setting Your Rates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Guide Profile &gt; Rates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day rate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your standard daily guiding fee in USD. This is displayed on your profile card in search results.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trip rate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your total fee for a multi-day or liveaboard engagement. Clarify in your bio or offer notes whether this includes accommodation, meals, and flights.</w:t>
      </w:r>
    </w:p>
    <w:p>
      <w:pPr>
        <w:pStyle w:val="ListParagraph"/>
        <w:numPr>
          <w:ilvl w:val="0"/>
          <w:numId w:val="2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Save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Guide Profile &gt; Rates screen showing Day Rate and Trip Rate fields in USD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Guide Profile &gt; Rates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Rate type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When to use it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Day rate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Single day trips, day boat diving, and hourly arrangements priced per day.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Trip rate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Multi-day trips, liveaboards, and longer engagements where a total fee makes more sense than a per-day calculation.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Negotiable: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Rates on your profile are a guide. Quote a different rate in each offer if the trip justifies it — a remote liveaboard with difficult conditions should command more than a local reef day trip.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Setting Your Availability Calendar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Guide Profile &gt; Availability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Tick the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months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you are typically available to take trips. You can tick individual months or select a seasonal range.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minimum trip length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the shortest engagement you will accept (e.g. 1 day, 3 days). Day-trip guides set 1 day; those preferring longer expeditions might set 5-7 days.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your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maximum trip length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the longest single engagement you are available for (e.g. 7 days, 21 days). Leave open if you have no upper limit.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Add any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availability notes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in the free-text field. Examples: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"Available Feb-May in Thailand, June-September in Australia."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"Blackout: December and January (family commitments)."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"Available for back-to-back liveaboards up to 3 weeks."</w:t>
      </w:r>
    </w:p>
    <w:p>
      <w:pPr>
        <w:pStyle w:val="ListParagraph"/>
        <w:numPr>
          <w:ilvl w:val="0"/>
          <w:numId w:val="3"/>
        </w:numPr>
        <w:spacing w:after="56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Save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The platform immediately updates which trips show in your Available Trips feed to match your settings.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CCD4" w:sz="6"/>
              <w:left w:val="single" w:color="BBCCD4" w:sz="6"/>
              <w:bottom w:val="single" w:color="BBCCD4" w:sz="6"/>
              <w:right w:val="single" w:color="BBCCD4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Availability screen showing month checkboxes, minimum and maximum trip length dropdowns, and availability notes text field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App &gt; Guide Profile &gt; Availability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Keep it current: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If your plans change — new commitment, injury, visa issue — update your availability immediately. The platform will stop showing you trips in months you mark as unavailable, which prevents you receiving offers you cannot accept.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Trip Type Preferences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Guide Profile &gt; Trip Preferences and select the trip types you prefer or specialise in: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Liveaboard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Day trips (boat)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Courses / instruction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Technical dives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Private charters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Group tours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Preferences are used to prioritise listings in your Available Trips feed — trips matching your preferences appear higher. Operators can also filter their guide search by trip type preference.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Offer History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Guide Trips &gt; Offers to see every offer you have submitted across all trips: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Pending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operator has not yet responded.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Accepted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you got the trip.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Declined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operator chose another guide.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Withdrawn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you withdrew your offer.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Use the offer history to spot patterns — which trip types you win most, which locations get the most interest, and which offer notes perform best. Refine your approach over time.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Related Guides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Guide Profile Setup</w:t>
      </w:r>
    </w:p>
    <w:p>
      <w:pPr>
        <w:pStyle w:val="ListParagraph"/>
        <w:numPr>
          <w:ilvl w:val="0"/>
          <w:numId w:val="4"/>
        </w:numPr>
        <w:spacing w:after="36" w:before="36"/>
      </w:pPr>
      <w:r>
        <w:rPr>
          <w:rFonts w:ascii="Arial" w:cs="Arial" w:eastAsia="Arial" w:hAnsi="Arial"/>
          <w:color w:val="00B8D0"/>
          <w:sz w:val="22"/>
          <w:szCs w:val="22"/>
        </w:rPr>
        <w:t xml:space="preserve">Finding and Applying for Trips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Guide Process Guide  ·  www.scubadiverlink.com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Guide Availability &amp;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6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6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2026-05-26T19:31:50.021Z</dcterms:created>
  <dcterms:modified xsi:type="dcterms:W3CDTF">2026-05-26T19:31:50.021Z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